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BE242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2429" w:rsidRPr="00BE2429">
              <w:rPr>
                <w:rFonts w:asciiTheme="majorHAnsi" w:hAnsiTheme="majorHAnsi" w:cs="Arial"/>
                <w:b/>
                <w:sz w:val="18"/>
                <w:szCs w:val="18"/>
              </w:rPr>
              <w:t>Design and synthesis of organic molecules</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E2429">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2429">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1E4873">
                    <w:rPr>
                      <w:rFonts w:asciiTheme="majorHAnsi" w:hAnsiTheme="majorHAnsi" w:cs="Arial"/>
                      <w:b/>
                      <w:sz w:val="18"/>
                      <w:szCs w:val="18"/>
                    </w:rPr>
                  </w:r>
                  <w:r w:rsidR="001E4873">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BE242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E2429">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BE242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2429">
              <w:rPr>
                <w:rFonts w:asciiTheme="majorHAnsi" w:hAnsiTheme="majorHAnsi" w:cs="Arial"/>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2429">
              <w:rPr>
                <w:rFonts w:asciiTheme="majorHAnsi" w:hAnsiTheme="majorHAnsi" w:cs="Arial"/>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2429">
              <w:rPr>
                <w:rFonts w:asciiTheme="majorHAnsi" w:hAnsiTheme="majorHAnsi" w:cs="Arial"/>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2429">
              <w:rPr>
                <w:rFonts w:asciiTheme="majorHAnsi" w:hAnsiTheme="majorHAnsi" w:cs="Arial"/>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2429" w:rsidRPr="00BE2429">
              <w:rPr>
                <w:rFonts w:asciiTheme="majorHAnsi" w:hAnsiTheme="majorHAnsi" w:cs="Arial"/>
                <w:b/>
                <w:sz w:val="18"/>
                <w:szCs w:val="18"/>
              </w:rPr>
              <w:t xml:space="preserve">33,75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E2429">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2429" w:rsidRPr="00BE2429">
              <w:rPr>
                <w:rFonts w:asciiTheme="majorHAnsi" w:hAnsiTheme="majorHAnsi" w:cs="Arial"/>
                <w:b/>
                <w:sz w:val="18"/>
                <w:szCs w:val="18"/>
              </w:rPr>
              <w:t xml:space="preserve">56,04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E2429">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2429" w:rsidRPr="00BE2429">
              <w:rPr>
                <w:rFonts w:asciiTheme="majorHAnsi" w:hAnsiTheme="majorHAnsi" w:cs="Arial"/>
                <w:b/>
                <w:sz w:val="18"/>
                <w:szCs w:val="18"/>
              </w:rPr>
              <w:t xml:space="preserve">89,96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E2429" w:rsidRPr="00BE2429">
              <w:rPr>
                <w:rFonts w:asciiTheme="majorHAnsi" w:hAnsiTheme="majorHAnsi" w:cs="Arial"/>
                <w:b/>
                <w:sz w:val="18"/>
                <w:szCs w:val="18"/>
              </w:rPr>
              <w:t xml:space="preserve">Faculty of natural sciences &amp;mathematics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BE242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2429" w:rsidRPr="00BE2429">
              <w:rPr>
                <w:rFonts w:asciiTheme="majorHAnsi" w:hAnsiTheme="majorHAnsi" w:cs="Arial"/>
                <w:b/>
                <w:sz w:val="18"/>
                <w:szCs w:val="18"/>
              </w:rPr>
              <w:t>Chemistry/</w:t>
            </w:r>
            <w:r w:rsidR="00BE2429">
              <w:rPr>
                <w:rFonts w:asciiTheme="majorHAnsi" w:hAnsiTheme="majorHAnsi" w:cs="Arial"/>
                <w:b/>
                <w:sz w:val="18"/>
                <w:szCs w:val="18"/>
              </w:rPr>
              <w:t>Applied</w:t>
            </w:r>
            <w:r w:rsidR="00BE2429" w:rsidRPr="00BE2429">
              <w:rPr>
                <w:rFonts w:asciiTheme="majorHAnsi" w:hAnsiTheme="majorHAnsi" w:cs="Arial"/>
                <w:b/>
                <w:sz w:val="18"/>
                <w:szCs w:val="18"/>
              </w:rPr>
              <w:t xml:space="preserve"> chemistry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8E421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2429" w:rsidRPr="00BE2429">
              <w:rPr>
                <w:rFonts w:asciiTheme="majorHAnsi" w:hAnsiTheme="majorHAnsi" w:cs="Arial"/>
                <w:b/>
                <w:sz w:val="18"/>
                <w:szCs w:val="18"/>
              </w:rPr>
              <w:t>Ph.D.Majda Srabovic</w:t>
            </w:r>
            <w:r w:rsidR="008E4216">
              <w:rPr>
                <w:rFonts w:asciiTheme="majorHAnsi" w:hAnsiTheme="majorHAnsi" w:cs="Arial"/>
                <w:b/>
                <w:sz w:val="18"/>
                <w:szCs w:val="18"/>
              </w:rPr>
              <w:t xml:space="preserve">, </w:t>
            </w:r>
            <w:r w:rsidR="008E4216" w:rsidRPr="008E4216">
              <w:rPr>
                <w:rFonts w:asciiTheme="majorHAnsi" w:hAnsiTheme="majorHAnsi" w:cs="Arial"/>
                <w:b/>
                <w:sz w:val="18"/>
                <w:szCs w:val="18"/>
              </w:rPr>
              <w:t>full professor</w:t>
            </w:r>
            <w:r w:rsidR="00BE2429" w:rsidRPr="00BE2429">
              <w:rPr>
                <w:rFonts w:asciiTheme="majorHAnsi" w:hAnsiTheme="majorHAnsi" w:cs="Arial"/>
                <w:b/>
                <w:sz w:val="18"/>
                <w:szCs w:val="18"/>
              </w:rPr>
              <w:t xml:space="preserve">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E2429" w:rsidRPr="00BE2429" w:rsidRDefault="006D5B9B" w:rsidP="00BE242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2429" w:rsidRPr="00BE2429">
              <w:rPr>
                <w:rFonts w:asciiTheme="majorHAnsi" w:hAnsiTheme="majorHAnsi" w:cs="Arial"/>
                <w:b/>
                <w:sz w:val="18"/>
                <w:szCs w:val="18"/>
              </w:rPr>
              <w:t>Application of the principles of organic synthesis, new synthetic methods and reactions for obtaining complex organic compounds that have applied significance. The role of organic synthesis design, which contributes to the economic and social development of society through its applied character.</w:t>
            </w:r>
          </w:p>
          <w:p w:rsidR="00CB72ED" w:rsidRPr="00B96B4F"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lastRenderedPageBreak/>
              <w:t>Design and issues of organic synthesis with an illustration of various synthetic approaches, as well as the structural characteristics and significance of synthesized organic molecules that have pharmaceutical activity as well as complex molecules that show biological activity.</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2429" w:rsidRPr="00BE2429">
              <w:rPr>
                <w:rFonts w:asciiTheme="majorHAnsi" w:hAnsiTheme="majorHAnsi" w:cs="Arial"/>
                <w:b/>
                <w:sz w:val="18"/>
                <w:szCs w:val="18"/>
              </w:rPr>
              <w:t>At the end of the semester/course, successful students, who have continuously performed their duties during the entire teaching period, will be able to independently explain the synthetic steps in the process of developing and designing various drugs and biologically active molecules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E2429" w:rsidRPr="00BE2429" w:rsidRDefault="006D5B9B" w:rsidP="00BE242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2429" w:rsidRPr="00BE2429">
              <w:rPr>
                <w:rFonts w:asciiTheme="majorHAnsi" w:hAnsiTheme="majorHAnsi" w:cs="Arial"/>
                <w:b/>
                <w:sz w:val="18"/>
                <w:szCs w:val="18"/>
              </w:rPr>
              <w:t>Introduction to synthetic chemistry, classification and mechanisms of synthetic reactions (condensation, redistribution, aromatic electrophilic substitutions, heterocyclic condensations, catalysis, oxidation and reduction)</w:t>
            </w:r>
          </w:p>
          <w:p w:rsidR="00BE2429" w:rsidRPr="00BE2429"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Designing organic syntheses by building the molecular structure of the target compound, introducing and transforming the necessary functional groups, introducing protective groups during the synthetic process.</w:t>
            </w:r>
          </w:p>
          <w:p w:rsidR="00BE2429" w:rsidRPr="00BE2429"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Basic aspects of retrosynthesis with illustrative examples of disconnection methods, obtained synthons and synthetic equivalents.</w:t>
            </w:r>
          </w:p>
          <w:p w:rsidR="00BE2429" w:rsidRPr="00BE2429"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Molecular modeling, Ligand-based drug design.</w:t>
            </w:r>
          </w:p>
          <w:p w:rsidR="00BE2429" w:rsidRPr="00BE2429"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Design and synthesis of organic molecules with anesthetic, anxiolytic, analgesic, antihypertensive, action. Syntheses of some natural compounds.</w:t>
            </w:r>
          </w:p>
          <w:p w:rsidR="00CB72ED" w:rsidRPr="00B96B4F"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Retro synthetic consideration of complex biologically active molecules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E2429" w:rsidRPr="00BE2429" w:rsidRDefault="006D5B9B" w:rsidP="00BE242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2429" w:rsidRPr="00BE2429">
              <w:rPr>
                <w:rFonts w:asciiTheme="majorHAnsi" w:hAnsiTheme="majorHAnsi" w:cs="Arial"/>
                <w:b/>
                <w:sz w:val="18"/>
                <w:szCs w:val="18"/>
              </w:rPr>
              <w:t>In order to effectively deliver teaching and achieve the expected course objectives and student competencies at the end of the semester, various teaching methods are used:</w:t>
            </w:r>
          </w:p>
          <w:p w:rsidR="00BE2429" w:rsidRPr="00BE2429"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 lectures (L) using multimedia tools, active learning techniques and with active student participation and discussions;</w:t>
            </w:r>
          </w:p>
          <w:p w:rsidR="00BE2429" w:rsidRPr="00BE2429"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 individual seminar papers</w:t>
            </w:r>
          </w:p>
          <w:p w:rsidR="00CB72ED" w:rsidRPr="00B96B4F"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 xml:space="preserve">- consultations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E2429" w:rsidRDefault="006D5B9B" w:rsidP="00BE242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2429" w:rsidRPr="00BE2429">
              <w:rPr>
                <w:rFonts w:asciiTheme="majorHAnsi" w:hAnsiTheme="majorHAnsi" w:cs="Arial"/>
                <w:b/>
                <w:sz w:val="18"/>
                <w:szCs w:val="18"/>
              </w:rPr>
              <w:t>During the semester, students take 2 written tests, each of which carries a maximum of 25 points. The final exam is in written/oral form and carries a maximum of 25 points. As part of the pre-examination requirements, the student is obliged to complete and present a seminar paper worth a maximum of 15 points</w:t>
            </w:r>
          </w:p>
          <w:p w:rsidR="00BE2429" w:rsidRDefault="00BE2429" w:rsidP="00BE2429">
            <w:pPr>
              <w:pStyle w:val="NoSpacing"/>
              <w:rPr>
                <w:rFonts w:asciiTheme="majorHAnsi" w:hAnsiTheme="majorHAnsi" w:cs="Arial"/>
                <w:b/>
                <w:sz w:val="18"/>
                <w:szCs w:val="18"/>
              </w:rPr>
            </w:pPr>
          </w:p>
          <w:p w:rsidR="00BE2429" w:rsidRPr="00BE2429"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Criterion                                  Max. number of points                     Passing points</w:t>
            </w:r>
          </w:p>
          <w:p w:rsidR="00BE2429" w:rsidRPr="00BE2429"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teaching engagement                              10                                                      7</w:t>
            </w:r>
          </w:p>
          <w:p w:rsidR="00BE2429" w:rsidRPr="00BE2429"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seminar paper                                            15                                                      8</w:t>
            </w:r>
          </w:p>
          <w:p w:rsidR="00BE2429" w:rsidRPr="00BE2429"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TEST I                                                             25                                                    13</w:t>
            </w:r>
          </w:p>
          <w:p w:rsidR="00BE2429" w:rsidRPr="00BE2429"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TEST II                                                           25                                                    13</w:t>
            </w:r>
          </w:p>
          <w:p w:rsidR="00BE2429" w:rsidRPr="00BE2429"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Final exam                                                   25                                                    14</w:t>
            </w:r>
          </w:p>
          <w:p w:rsidR="00CB72ED" w:rsidRPr="00B96B4F"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 xml:space="preserve">TOTAL                                                         100                                                    55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E2429" w:rsidRPr="00BE2429" w:rsidRDefault="006D5B9B" w:rsidP="00BE242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2429" w:rsidRPr="00BE2429">
              <w:rPr>
                <w:rFonts w:asciiTheme="majorHAnsi" w:hAnsiTheme="majorHAnsi" w:cs="Arial"/>
                <w:b/>
                <w:sz w:val="18"/>
                <w:szCs w:val="18"/>
              </w:rPr>
              <w:t xml:space="preserve">Number of conquest points     Mark (BiH)         (ECTS mark)            </w:t>
            </w:r>
          </w:p>
          <w:p w:rsidR="00BE2429" w:rsidRPr="00BE2429"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0-54                                                            5                                 F</w:t>
            </w:r>
          </w:p>
          <w:p w:rsidR="00BE2429" w:rsidRPr="00BE2429"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55 – 64                                                       6                                 E</w:t>
            </w:r>
          </w:p>
          <w:p w:rsidR="00BE2429" w:rsidRPr="00BE2429"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65 – 74                                                       7                                 D</w:t>
            </w:r>
          </w:p>
          <w:p w:rsidR="00BE2429" w:rsidRPr="00BE2429"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75 – 84                                                       8                                 C</w:t>
            </w:r>
          </w:p>
          <w:p w:rsidR="00BE2429" w:rsidRPr="00BE2429"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85 – 94                                                       9                                 B</w:t>
            </w:r>
          </w:p>
          <w:p w:rsidR="00CB72ED" w:rsidRPr="00B96B4F"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 xml:space="preserve">95 - 100                                                   10                                A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E2429" w:rsidRPr="00BE2429" w:rsidRDefault="006D5B9B" w:rsidP="00BE242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2429" w:rsidRPr="00BE2429">
              <w:rPr>
                <w:rFonts w:asciiTheme="majorHAnsi" w:hAnsiTheme="majorHAnsi" w:cs="Arial"/>
                <w:b/>
                <w:sz w:val="18"/>
                <w:szCs w:val="18"/>
              </w:rPr>
              <w:t>Vitomir Šunjić i Vesna Petrović Peroković Organska kemija od retrosinteze do asimetrične sinteze, HKDI, Zagreb ,2014.</w:t>
            </w:r>
          </w:p>
          <w:p w:rsidR="00BE2429" w:rsidRPr="00BE2429"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M.Srabovic, M.Huremović, Organska hemija u sintezi lijekova, 2021</w:t>
            </w:r>
          </w:p>
          <w:p w:rsidR="00CB72ED" w:rsidRPr="00B96B4F" w:rsidRDefault="00BE2429" w:rsidP="00BE2429">
            <w:pPr>
              <w:pStyle w:val="NoSpacing"/>
              <w:rPr>
                <w:rFonts w:asciiTheme="majorHAnsi" w:hAnsiTheme="majorHAnsi" w:cs="Arial"/>
                <w:b/>
                <w:sz w:val="18"/>
                <w:szCs w:val="18"/>
              </w:rPr>
            </w:pPr>
            <w:r w:rsidRPr="00BE2429">
              <w:rPr>
                <w:rFonts w:asciiTheme="majorHAnsi" w:hAnsiTheme="majorHAnsi" w:cs="Arial"/>
                <w:b/>
                <w:sz w:val="18"/>
                <w:szCs w:val="18"/>
              </w:rPr>
              <w:t>Ž. Čeković: Principi organske sinteze, Naučna knjiga Beograd, 2006.</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7019D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2429">
              <w:rPr>
                <w:rFonts w:asciiTheme="majorHAnsi" w:hAnsiTheme="majorHAnsi" w:cs="Arial"/>
                <w:b/>
                <w:sz w:val="18"/>
                <w:szCs w:val="18"/>
              </w:rPr>
              <w:t>202</w:t>
            </w:r>
            <w:r w:rsidR="007019DA">
              <w:rPr>
                <w:rFonts w:asciiTheme="majorHAnsi" w:hAnsiTheme="majorHAnsi" w:cs="Arial"/>
                <w:b/>
                <w:sz w:val="18"/>
                <w:szCs w:val="18"/>
              </w:rPr>
              <w:t>6</w:t>
            </w:r>
            <w:r w:rsidR="00BE2429">
              <w:rPr>
                <w:rFonts w:asciiTheme="majorHAnsi" w:hAnsiTheme="majorHAnsi" w:cs="Arial"/>
                <w:b/>
                <w:sz w:val="18"/>
                <w:szCs w:val="18"/>
              </w:rPr>
              <w:t>-202</w:t>
            </w:r>
            <w:r w:rsidR="007019DA">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7019DA">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7019DA">
              <w:rPr>
                <w:rFonts w:asciiTheme="majorHAnsi" w:hAnsiTheme="majorHAnsi" w:cs="Arial"/>
                <w:b/>
                <w:sz w:val="18"/>
                <w:szCs w:val="18"/>
              </w:rPr>
            </w:r>
            <w:r w:rsidRPr="007019DA">
              <w:rPr>
                <w:rFonts w:asciiTheme="majorHAnsi" w:hAnsiTheme="majorHAnsi" w:cs="Arial"/>
                <w:b/>
                <w:sz w:val="18"/>
                <w:szCs w:val="18"/>
              </w:rPr>
              <w:fldChar w:fldCharType="separate"/>
            </w:r>
            <w:r w:rsidR="00FB48B6" w:rsidRPr="007019DA">
              <w:rPr>
                <w:rFonts w:asciiTheme="majorHAnsi" w:hAnsiTheme="majorHAnsi" w:cs="Arial"/>
                <w:b/>
                <w:spacing w:val="216"/>
                <w:sz w:val="18"/>
                <w:szCs w:val="18"/>
              </w:rPr>
              <w:t>    </w:t>
            </w:r>
            <w:r w:rsidR="00FB48B6" w:rsidRPr="007019DA">
              <w:rPr>
                <w:rFonts w:asciiTheme="majorHAnsi" w:hAnsiTheme="majorHAnsi" w:cs="Arial"/>
                <w:b/>
                <w:spacing w:val="-1"/>
                <w:sz w:val="18"/>
                <w:szCs w:val="18"/>
              </w:rPr>
              <w:t> </w:t>
            </w:r>
            <w:r w:rsidRPr="007019DA">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873" w:rsidRDefault="001E4873">
      <w:pPr>
        <w:spacing w:line="240" w:lineRule="auto"/>
      </w:pPr>
      <w:r>
        <w:separator/>
      </w:r>
    </w:p>
  </w:endnote>
  <w:endnote w:type="continuationSeparator" w:id="0">
    <w:p w:rsidR="001E4873" w:rsidRDefault="001E48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F37BF9">
            <w:rPr>
              <w:rFonts w:ascii="Cambria" w:hAnsi="Cambria" w:cs="Calibri"/>
              <w:noProof/>
              <w:sz w:val="16"/>
              <w:szCs w:val="16"/>
            </w:rPr>
            <w:t>12.3.2026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F37BF9">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F37BF9">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873" w:rsidRDefault="001E4873">
      <w:pPr>
        <w:spacing w:after="0"/>
      </w:pPr>
      <w:r>
        <w:separator/>
      </w:r>
    </w:p>
  </w:footnote>
  <w:footnote w:type="continuationSeparator" w:id="0">
    <w:p w:rsidR="001E4873" w:rsidRDefault="001E487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643C"/>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E4873"/>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1521B"/>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0896"/>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019DA"/>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E4216"/>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2429"/>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37BF9"/>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6F8F3B-1AF0-4CED-A6BD-C6796BE01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84B42-69E1-4DC1-9250-ABCF74534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881</Words>
  <Characters>5026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2026-03-12T10:11:00Z</dcterms:created>
  <dcterms:modified xsi:type="dcterms:W3CDTF">2026-03-12T10:11:00Z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